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Zomerleague Spijkenisse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-336549</wp:posOffset>
            </wp:positionV>
            <wp:extent cx="775855" cy="775855"/>
            <wp:effectExtent b="0" l="0" r="0" t="0"/>
            <wp:wrapNone/>
            <wp:docPr descr="Bowling Pin outline" id="219" name="image1.png"/>
            <a:graphic>
              <a:graphicData uri="http://schemas.openxmlformats.org/drawingml/2006/picture">
                <pic:pic>
                  <pic:nvPicPr>
                    <pic:cNvPr descr="Bowling Pin out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855" cy="775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5876983</wp:posOffset>
            </wp:positionH>
            <wp:positionV relativeFrom="paragraph">
              <wp:posOffset>-332104</wp:posOffset>
            </wp:positionV>
            <wp:extent cx="768927" cy="768927"/>
            <wp:effectExtent b="0" l="0" r="0" t="0"/>
            <wp:wrapNone/>
            <wp:docPr descr="Bowling Pin outline" id="220" name="image1.png"/>
            <a:graphic>
              <a:graphicData uri="http://schemas.openxmlformats.org/drawingml/2006/picture">
                <pic:pic>
                  <pic:nvPicPr>
                    <pic:cNvPr descr="Bowling Pin out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927" cy="768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Organisatie: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Party- &amp; Bowlingcentrum Spijkenisse en Bowling Vereniging Spijkenisse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Wanneer: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Elke dinsdag vanaf 11 juni 2024 t/m 23 juli 2024. Ingooien begint om 19:15. Graag van tevoren even aanmelden, dit kan tot 17.00 op de dag zelf door te bellen naar 0181-610656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Waar: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Party- &amp; Bowlingcentrum Spijkenisse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Hoogwerfsingel 2, 3202SP Spijkenisse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Voor wie: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Toegankelijk voor iedereen, geen NBF lidmaatschap benodigd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Speelwijze: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4 games per speelavond, HCP 80% van 220 met een max. van 75 per game, Amerikaans systeem. 2 tot 3 personen per baan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Bepaling HCP: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HCP wordt bepaald op basis van NBF-pasgemiddelde. Indien niet lid van de NBF of andere bond, dan wordt de HCP vastgesteld op 75 per game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Oliepatroon: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Wall Street V2 – 40ft – ratio 11:1 (is tevens het oliepatroon dat in periode 1 van seizoen 2024/2025 wordt neergelegd in de huisleague)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Kosten: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€ 16,- per persoon per speelavond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</w:pBdr>
        <w:spacing w:after="100" w:line="240" w:lineRule="auto"/>
        <w:jc w:val="center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Prijzen: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Indien 4 of meer avonden gespeeld, dan speelt men mee voor de prijzen. Prijsuitreiking op laatste speeldag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spacing w:after="100" w:line="240" w:lineRule="auto"/>
        <w:jc w:val="left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3338</wp:posOffset>
                </wp:positionH>
                <wp:positionV relativeFrom="paragraph">
                  <wp:posOffset>37281</wp:posOffset>
                </wp:positionV>
                <wp:extent cx="6638925" cy="1885628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876233"/>
                          <a:ext cx="662940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Speeldag		Datum			Starttijd		Verwachte eindtijd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#1	Dinsdag 11 juni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#2	Dinsdag 18 juni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#3	Dinsdag 25 juni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#4	Dinsdag 2 juli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#5	Dinsdag 9 juli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#6	Dinsdag 16 juli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Speeldag #7	Dinsdag 23 juli 	 	19:15			Tussen 21:00 – 21:45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3338</wp:posOffset>
                </wp:positionH>
                <wp:positionV relativeFrom="paragraph">
                  <wp:posOffset>37281</wp:posOffset>
                </wp:positionV>
                <wp:extent cx="6638925" cy="1885628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885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40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left" w:leader="none" w:pos="8145"/>
              </w:tabs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u w:val="single"/>
                <w:rtl w:val="0"/>
              </w:rPr>
              <w:t xml:space="preserve">Prijzenschema*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plaats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Pro Bowl Strikebal**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plaats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Pro Bowl Sparebal***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plaats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Sportprijs-pakket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Speler met meeste games****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Sportprijs-pakket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Speler met kleinste verschil tussen hoogste en laagste game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Sportprijs-pakket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Speler met kleinste verschil tussen hoogste en laagste serie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8145"/>
              </w:tabs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Sportprijs-pakket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8145"/>
        </w:tabs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 Prijzenschema is onder voorbehoud van voldoende inschrijvingen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** Keuze uit de Pro Bowl Forta of Challenger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*** Keuze uit het basisassortiment van Pro Bowl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**** Indien er meerdere spelers zijn met de meeste games, dan wint degene met het hoogste gemiddelde inclusief handicap deze prijs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A5372B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E467FE"/>
    <w:pPr>
      <w:ind w:left="720"/>
      <w:contextualSpacing w:val="1"/>
    </w:pPr>
  </w:style>
  <w:style w:type="paragraph" w:styleId="Koptekst">
    <w:name w:val="header"/>
    <w:basedOn w:val="Standaard"/>
    <w:link w:val="KoptekstChar"/>
    <w:uiPriority w:val="99"/>
    <w:unhideWhenUsed w:val="1"/>
    <w:rsid w:val="002F16D7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F16D7"/>
  </w:style>
  <w:style w:type="paragraph" w:styleId="Voettekst">
    <w:name w:val="footer"/>
    <w:basedOn w:val="Standaard"/>
    <w:link w:val="VoettekstChar"/>
    <w:uiPriority w:val="99"/>
    <w:unhideWhenUsed w:val="1"/>
    <w:rsid w:val="002F16D7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F16D7"/>
  </w:style>
  <w:style w:type="character" w:styleId="Hyperlink">
    <w:name w:val="Hyperlink"/>
    <w:basedOn w:val="Standaardalinea-lettertype"/>
    <w:uiPriority w:val="99"/>
    <w:unhideWhenUsed w:val="1"/>
    <w:rsid w:val="00FA6C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FA6CD4"/>
    <w:rPr>
      <w:color w:val="605e5c"/>
      <w:shd w:color="auto" w:fill="e1dfdd" w:val="clear"/>
    </w:rPr>
  </w:style>
  <w:style w:type="table" w:styleId="Tabelraster">
    <w:name w:val="Table Grid"/>
    <w:basedOn w:val="Standaardtabel"/>
    <w:uiPriority w:val="39"/>
    <w:rsid w:val="00E803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hfN/Z8tVIapkHLLJFHCV87LWgg==">CgMxLjA4AHIhMUpZRVZNeTl6cXdCM0JJU3lOM09JTEJGUmtoWDJ3b2ZH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2022-07-14T16:36:00Z</dcterms:created>
  <dc:creator>van der Heide, Jeroen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2022-07-14T09:08:53Z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f380698b-6c46-4363-822f-af521086d033</vt:lpwstr>
  </property>
  <property fmtid="{D5CDD505-2E9C-101B-9397-08002B2CF9AE}" pid="8" name="MSIP_Label_ea60d57e-af5b-4752-ac57-3e4f28ca11dc_ContentBits">
    <vt:lpwstr>0</vt:lpwstr>
  </property>
</Properties>
</file>